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Удостоверяющий центр. Переход на СКЗИ «</w:t>
      </w:r>
      <w:r>
        <w:rPr>
          <w:rFonts w:ascii="Times New Roman" w:hAnsi="Times New Roman" w:eastAsia="Times New Roman" w:cs="Times New Roman"/>
          <w:b/>
          <w:bCs/>
          <w:sz w:val="24"/>
        </w:rPr>
        <w:t xml:space="preserve">КриптоПро</w:t>
      </w:r>
      <w:r>
        <w:rPr>
          <w:rFonts w:ascii="Times New Roman" w:hAnsi="Times New Roman" w:eastAsia="Times New Roman" w:cs="Times New Roman"/>
          <w:b/>
          <w:bCs/>
          <w:sz w:val="24"/>
        </w:rPr>
        <w:t xml:space="preserve"> CSP» 5.0</w:t>
      </w:r>
      <w:r>
        <w:rPr>
          <w:rFonts w:ascii="Times New Roman" w:hAnsi="Times New Roman" w:eastAsia="Times New Roman" w:cs="Times New Roman"/>
          <w:b/>
          <w:bCs/>
          <w:sz w:val="24"/>
        </w:rPr>
        <w:t xml:space="preserve">»</w:t>
      </w:r>
      <w:bookmarkStart w:id="0" w:name="_GoBack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Об Удостоверяющем центре</w:t>
      </w:r>
      <w:r>
        <w:rPr>
          <w:rFonts w:ascii="Times New Roman" w:hAnsi="Times New Roman" w:cs="Times New Roman"/>
          <w:b/>
          <w:sz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Федеральное казначейство в соответствии с частью 1 статьи 15 Федерального закона от 06.04.2011 № 63–ФЗ «Об электронной подписи» я</w:t>
      </w:r>
      <w:r>
        <w:rPr>
          <w:rFonts w:ascii="Times New Roman" w:hAnsi="Times New Roman" w:eastAsia="Times New Roman" w:cs="Times New Roman"/>
          <w:sz w:val="24"/>
        </w:rPr>
        <w:t xml:space="preserve">вляется аккредитованным удостоверяющим центром и осуществляет функцию по выдаче сертификатов ключей проверки электронных подписей (далее – сертификаты) на основании пункта 5.58 Положения о Федеральном казначействе, утвержденного постановлением Правительств</w:t>
      </w:r>
      <w:r>
        <w:rPr>
          <w:rFonts w:ascii="Times New Roman" w:hAnsi="Times New Roman" w:eastAsia="Times New Roman" w:cs="Times New Roman"/>
          <w:sz w:val="24"/>
        </w:rPr>
        <w:t xml:space="preserve">а Российской Федерации от 01.12.2004 № 703, и в соответствии с Порядком реализации Федеральным казначейством функций аккредитованного удостоверяющего центра и исполнения его обязанностей, утвержденным приказом Федерального казначейства от 15.06.2021 № 21н.</w:t>
      </w:r>
      <w:r>
        <w:rPr>
          <w:rFonts w:ascii="Times New Roman" w:hAnsi="Times New Roman" w:cs="Times New Roman"/>
          <w:sz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Удостоверяющий центр Федерального казначейства обеспечивает сертификатами лиц, замещающи</w:t>
      </w:r>
      <w:r>
        <w:rPr>
          <w:rFonts w:ascii="Times New Roman" w:hAnsi="Times New Roman" w:eastAsia="Times New Roman" w:cs="Times New Roman"/>
          <w:sz w:val="24"/>
        </w:rPr>
        <w:t xml:space="preserve">х государственные должности Российской Федерации, государственные должности субъектов Российской Федерации, должностных лиц государственных органов, органов местного самоуправления, их подведомственных учреждений, работников коммерческих организаций, котор</w:t>
      </w:r>
      <w:r>
        <w:rPr>
          <w:rFonts w:ascii="Times New Roman" w:hAnsi="Times New Roman" w:eastAsia="Times New Roman" w:cs="Times New Roman"/>
          <w:sz w:val="24"/>
        </w:rPr>
        <w:t xml:space="preserve">ым предоставляются средства из бюджетов бюджетной системы Российской Федерации, подлежащие казначейскому сопровождению, некоммерческих организаций (государственные корпорации, государственные компании, государственные учреждения, муниципальные учреждения).</w:t>
      </w:r>
      <w:r>
        <w:rPr>
          <w:rFonts w:ascii="Times New Roman" w:hAnsi="Times New Roman" w:cs="Times New Roman"/>
          <w:sz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Функции удостоверяющего центра Федерального казначейств</w:t>
      </w:r>
      <w:r>
        <w:rPr>
          <w:rFonts w:ascii="Times New Roman" w:hAnsi="Times New Roman" w:eastAsia="Times New Roman" w:cs="Times New Roman"/>
          <w:sz w:val="24"/>
        </w:rPr>
        <w:t xml:space="preserve">а выполняются в территориальных органах Федерального казначейства отделами режима секретности и безопасности информации, а также отделами, созданными для осуществления функций территориальных органов Федерального казначейства на соответствующей территории.</w:t>
      </w:r>
      <w:r>
        <w:rPr>
          <w:rFonts w:ascii="Times New Roman" w:hAnsi="Times New Roman" w:cs="Times New Roman"/>
          <w:sz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Управление Ф</w:t>
      </w:r>
      <w:r>
        <w:rPr>
          <w:rFonts w:ascii="Times New Roman" w:hAnsi="Times New Roman" w:eastAsia="Times New Roman" w:cs="Times New Roman"/>
          <w:sz w:val="24"/>
        </w:rPr>
        <w:t xml:space="preserve">едерального казначейства по Тюменской области сообщает, что в рамках развития информационной системы «Удостоверяющий центр Федерального казначейства» введен в эксплуатацию онлайн-сервис для автоматической проверки настройки автоматизированных рабочих мест.</w:t>
      </w:r>
      <w:r>
        <w:rPr>
          <w:rFonts w:ascii="Times New Roman" w:hAnsi="Times New Roman" w:cs="Times New Roman"/>
          <w:sz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Обращаем Ваше внимание, что выдача квалифицированного сертификата ключа проверки электронной подписи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осуществляется после идентифик</w:t>
      </w:r>
      <w:r>
        <w:rPr>
          <w:rFonts w:ascii="Times New Roman" w:hAnsi="Times New Roman" w:eastAsia="Times New Roman" w:cs="Times New Roman"/>
          <w:sz w:val="24"/>
        </w:rPr>
        <w:t xml:space="preserve">ации владельца сертификата. Идентификация владельца сертификата, осуществляется при личном присутствии по основному документу, удостоверяющему личность, либо без личного присутствия с использованием электронной подписи при наличии действующего сертификата.</w:t>
      </w:r>
      <w:r>
        <w:rPr>
          <w:rFonts w:ascii="Times New Roman" w:hAnsi="Times New Roman" w:cs="Times New Roman"/>
          <w:sz w:val="24"/>
        </w:rPr>
      </w:r>
    </w:p>
    <w:p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bCs/>
          <w:sz w:val="24"/>
        </w:rPr>
        <w:t xml:space="preserve">О переходе на СКЗИ «</w:t>
      </w:r>
      <w:r>
        <w:rPr>
          <w:rFonts w:ascii="Times New Roman" w:hAnsi="Times New Roman" w:eastAsia="Times New Roman" w:cs="Times New Roman"/>
          <w:b/>
          <w:bCs/>
          <w:sz w:val="24"/>
        </w:rPr>
        <w:t xml:space="preserve">КриптоПро</w:t>
      </w:r>
      <w:r>
        <w:rPr>
          <w:rFonts w:ascii="Times New Roman" w:hAnsi="Times New Roman" w:eastAsia="Times New Roman" w:cs="Times New Roman"/>
          <w:b/>
          <w:bCs/>
          <w:sz w:val="24"/>
        </w:rPr>
        <w:t xml:space="preserve"> CSP» 5.0</w:t>
      </w:r>
      <w:r>
        <w:rPr>
          <w:rFonts w:ascii="Times New Roman" w:hAnsi="Times New Roman" w:cs="Times New Roman"/>
          <w:sz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УФК по Тюменской области </w:t>
      </w:r>
      <w:r>
        <w:rPr>
          <w:rFonts w:ascii="Times New Roman" w:hAnsi="Times New Roman" w:eastAsia="Times New Roman" w:cs="Times New Roman"/>
          <w:sz w:val="24"/>
        </w:rPr>
        <w:t xml:space="preserve">в 2025 году начала выдачу</w:t>
      </w:r>
      <w:r>
        <w:rPr>
          <w:rFonts w:ascii="Times New Roman" w:hAnsi="Times New Roman" w:eastAsia="Times New Roman" w:cs="Times New Roman"/>
          <w:sz w:val="24"/>
        </w:rPr>
        <w:t xml:space="preserve"> СКЗИ «</w:t>
      </w:r>
      <w:r>
        <w:rPr>
          <w:rFonts w:ascii="Times New Roman" w:hAnsi="Times New Roman" w:eastAsia="Times New Roman" w:cs="Times New Roman"/>
          <w:sz w:val="24"/>
        </w:rPr>
        <w:t xml:space="preserve">КриптоПроCSP</w:t>
      </w:r>
      <w:r>
        <w:rPr>
          <w:rFonts w:ascii="Times New Roman" w:hAnsi="Times New Roman" w:eastAsia="Times New Roman" w:cs="Times New Roman"/>
          <w:sz w:val="24"/>
        </w:rPr>
        <w:t xml:space="preserve">» версии 5.0 R3.</w:t>
      </w:r>
      <w:r>
        <w:rPr>
          <w:rFonts w:ascii="Times New Roman" w:hAnsi="Times New Roman" w:cs="Times New Roman"/>
          <w:sz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Выдача СКЗИ осуществляется посредством информационной системы </w:t>
      </w:r>
      <w:hyperlink r:id="rId8" w:tooltip="https://tumen.roskazna.gov.ru/gis/aokz" w:history="1">
        <w:r>
          <w:rPr>
            <w:rStyle w:val="650"/>
            <w:rFonts w:ascii="Times New Roman" w:hAnsi="Times New Roman" w:eastAsia="Times New Roman" w:cs="Times New Roman"/>
            <w:bCs/>
            <w:color w:val="auto"/>
            <w:sz w:val="24"/>
            <w:u w:val="none"/>
          </w:rPr>
          <w:t xml:space="preserve">«Автоматизация органов криптографической защиты»</w:t>
        </w:r>
      </w:hyperlink>
      <w:r>
        <w:rPr>
          <w:rFonts w:ascii="Times New Roman" w:hAnsi="Times New Roman" w:eastAsia="Times New Roman" w:cs="Times New Roman"/>
          <w:sz w:val="24"/>
        </w:rPr>
        <w:t xml:space="preserve"> </w:t>
      </w:r>
      <w:r>
        <w:rPr>
          <w:rFonts w:ascii="Times New Roman" w:hAnsi="Times New Roman" w:cs="Times New Roman"/>
          <w:sz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Предоставление неисключительных прав использования СКЗИ осуществляется Казначейством России с 15.10.2025 путем получения</w:t>
      </w:r>
      <w:r>
        <w:rPr>
          <w:rFonts w:ascii="Times New Roman" w:hAnsi="Times New Roman" w:eastAsia="Times New Roman" w:cs="Times New Roman"/>
          <w:sz w:val="24"/>
        </w:rPr>
        <w:t xml:space="preserve"> заявителями квалифицированного сертификата ключа проверки электронной подписи, в составе которого содержится информация об ограниченной лицензии на право использования СКЗИ. При этом неисключительные права на СКЗИ передаются на срок действия сертификата. </w:t>
      </w:r>
      <w:r>
        <w:rPr>
          <w:rFonts w:ascii="Times New Roman" w:hAnsi="Times New Roman" w:cs="Times New Roman"/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sectPr>
      <w:footnotePr/>
      <w:endnotePr/>
      <w:type w:val="nextPage"/>
      <w:pgSz w:w="11906" w:h="16838" w:orient="portrait"/>
      <w:pgMar w:top="1134" w:right="849" w:bottom="567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7"/>
    <w:link w:val="61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7"/>
    <w:link w:val="61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7"/>
    <w:link w:val="62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7"/>
    <w:link w:val="62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7"/>
    <w:link w:val="62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27"/>
    <w:link w:val="6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27"/>
    <w:link w:val="6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27"/>
    <w:link w:val="62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27"/>
    <w:link w:val="626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7"/>
    <w:link w:val="639"/>
    <w:uiPriority w:val="10"/>
    <w:rPr>
      <w:sz w:val="48"/>
      <w:szCs w:val="48"/>
    </w:rPr>
  </w:style>
  <w:style w:type="character" w:styleId="37">
    <w:name w:val="Subtitle Char"/>
    <w:basedOn w:val="627"/>
    <w:link w:val="641"/>
    <w:uiPriority w:val="11"/>
    <w:rPr>
      <w:sz w:val="24"/>
      <w:szCs w:val="24"/>
    </w:rPr>
  </w:style>
  <w:style w:type="character" w:styleId="39">
    <w:name w:val="Quote Char"/>
    <w:link w:val="643"/>
    <w:uiPriority w:val="29"/>
    <w:rPr>
      <w:i/>
    </w:rPr>
  </w:style>
  <w:style w:type="character" w:styleId="41">
    <w:name w:val="Intense Quote Char"/>
    <w:link w:val="647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7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7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7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7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7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paragraph" w:styleId="618">
    <w:name w:val="Heading 1"/>
    <w:basedOn w:val="617"/>
    <w:next w:val="617"/>
    <w:link w:val="630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619">
    <w:name w:val="Heading 2"/>
    <w:basedOn w:val="617"/>
    <w:next w:val="617"/>
    <w:link w:val="631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20">
    <w:name w:val="Heading 3"/>
    <w:basedOn w:val="617"/>
    <w:next w:val="617"/>
    <w:link w:val="632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621">
    <w:name w:val="Heading 4"/>
    <w:basedOn w:val="617"/>
    <w:next w:val="617"/>
    <w:link w:val="633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22">
    <w:name w:val="Heading 5"/>
    <w:basedOn w:val="617"/>
    <w:next w:val="617"/>
    <w:link w:val="634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23">
    <w:name w:val="Heading 6"/>
    <w:basedOn w:val="617"/>
    <w:next w:val="617"/>
    <w:link w:val="635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24">
    <w:name w:val="Heading 7"/>
    <w:basedOn w:val="617"/>
    <w:next w:val="617"/>
    <w:link w:val="636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25">
    <w:name w:val="Heading 8"/>
    <w:basedOn w:val="617"/>
    <w:next w:val="617"/>
    <w:link w:val="637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26">
    <w:name w:val="Heading 9"/>
    <w:basedOn w:val="617"/>
    <w:next w:val="617"/>
    <w:link w:val="638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27" w:default="1">
    <w:name w:val="Default Paragraph Font"/>
    <w:uiPriority w:val="1"/>
    <w:semiHidden/>
    <w:unhideWhenUsed/>
  </w:style>
  <w:style w:type="table" w:styleId="6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9" w:default="1">
    <w:name w:val="No List"/>
    <w:uiPriority w:val="99"/>
    <w:semiHidden/>
    <w:unhideWhenUsed/>
  </w:style>
  <w:style w:type="character" w:styleId="630" w:customStyle="1">
    <w:name w:val="Заголовок 1 Знак"/>
    <w:basedOn w:val="627"/>
    <w:link w:val="618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631" w:customStyle="1">
    <w:name w:val="Заголовок 2 Знак"/>
    <w:basedOn w:val="627"/>
    <w:link w:val="619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632" w:customStyle="1">
    <w:name w:val="Заголовок 3 Знак"/>
    <w:basedOn w:val="627"/>
    <w:link w:val="620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633" w:customStyle="1">
    <w:name w:val="Заголовок 4 Знак"/>
    <w:basedOn w:val="627"/>
    <w:link w:val="621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634" w:customStyle="1">
    <w:name w:val="Заголовок 5 Знак"/>
    <w:basedOn w:val="627"/>
    <w:link w:val="622"/>
    <w:uiPriority w:val="9"/>
    <w:semiHidden/>
    <w:rPr>
      <w:rFonts w:eastAsiaTheme="majorEastAsia" w:cstheme="majorBidi"/>
      <w:color w:val="2f5496" w:themeColor="accent1" w:themeShade="BF"/>
    </w:rPr>
  </w:style>
  <w:style w:type="character" w:styleId="635" w:customStyle="1">
    <w:name w:val="Заголовок 6 Знак"/>
    <w:basedOn w:val="627"/>
    <w:link w:val="623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636" w:customStyle="1">
    <w:name w:val="Заголовок 7 Знак"/>
    <w:basedOn w:val="627"/>
    <w:link w:val="624"/>
    <w:uiPriority w:val="9"/>
    <w:semiHidden/>
    <w:rPr>
      <w:rFonts w:eastAsiaTheme="majorEastAsia" w:cstheme="majorBidi"/>
      <w:color w:val="595959" w:themeColor="text1" w:themeTint="A6"/>
    </w:rPr>
  </w:style>
  <w:style w:type="character" w:styleId="637" w:customStyle="1">
    <w:name w:val="Заголовок 8 Знак"/>
    <w:basedOn w:val="627"/>
    <w:link w:val="625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638" w:customStyle="1">
    <w:name w:val="Заголовок 9 Знак"/>
    <w:basedOn w:val="627"/>
    <w:link w:val="626"/>
    <w:uiPriority w:val="9"/>
    <w:semiHidden/>
    <w:rPr>
      <w:rFonts w:eastAsiaTheme="majorEastAsia" w:cstheme="majorBidi"/>
      <w:color w:val="272727" w:themeColor="text1" w:themeTint="D8"/>
    </w:rPr>
  </w:style>
  <w:style w:type="paragraph" w:styleId="639">
    <w:name w:val="Title"/>
    <w:basedOn w:val="617"/>
    <w:next w:val="617"/>
    <w:link w:val="640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40" w:customStyle="1">
    <w:name w:val="Название Знак"/>
    <w:basedOn w:val="627"/>
    <w:link w:val="639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41">
    <w:name w:val="Subtitle"/>
    <w:basedOn w:val="617"/>
    <w:next w:val="617"/>
    <w:link w:val="642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42" w:customStyle="1">
    <w:name w:val="Подзаголовок Знак"/>
    <w:basedOn w:val="627"/>
    <w:link w:val="641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43">
    <w:name w:val="Quote"/>
    <w:basedOn w:val="617"/>
    <w:next w:val="617"/>
    <w:link w:val="644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644" w:customStyle="1">
    <w:name w:val="Цитата 2 Знак"/>
    <w:basedOn w:val="627"/>
    <w:link w:val="643"/>
    <w:uiPriority w:val="29"/>
    <w:rPr>
      <w:i/>
      <w:iCs/>
      <w:color w:val="404040" w:themeColor="text1" w:themeTint="BF"/>
    </w:rPr>
  </w:style>
  <w:style w:type="paragraph" w:styleId="645">
    <w:name w:val="List Paragraph"/>
    <w:basedOn w:val="617"/>
    <w:uiPriority w:val="34"/>
    <w:qFormat/>
    <w:pPr>
      <w:contextualSpacing/>
      <w:ind w:left="720"/>
    </w:pPr>
  </w:style>
  <w:style w:type="character" w:styleId="646">
    <w:name w:val="Intense Emphasis"/>
    <w:basedOn w:val="627"/>
    <w:uiPriority w:val="21"/>
    <w:qFormat/>
    <w:rPr>
      <w:i/>
      <w:iCs/>
      <w:color w:val="2f5496" w:themeColor="accent1" w:themeShade="BF"/>
    </w:rPr>
  </w:style>
  <w:style w:type="paragraph" w:styleId="647">
    <w:name w:val="Intense Quote"/>
    <w:basedOn w:val="617"/>
    <w:next w:val="617"/>
    <w:link w:val="648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648" w:customStyle="1">
    <w:name w:val="Выделенная цитата Знак"/>
    <w:basedOn w:val="627"/>
    <w:link w:val="647"/>
    <w:uiPriority w:val="30"/>
    <w:rPr>
      <w:i/>
      <w:iCs/>
      <w:color w:val="2f5496" w:themeColor="accent1" w:themeShade="BF"/>
    </w:rPr>
  </w:style>
  <w:style w:type="character" w:styleId="649">
    <w:name w:val="Intense Reference"/>
    <w:basedOn w:val="627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650">
    <w:name w:val="Hyperlink"/>
    <w:basedOn w:val="627"/>
    <w:uiPriority w:val="99"/>
    <w:unhideWhenUsed/>
    <w:rPr>
      <w:color w:val="0563c1" w:themeColor="hyperlink"/>
      <w:u w:val="single"/>
    </w:rPr>
  </w:style>
  <w:style w:type="character" w:styleId="651" w:customStyle="1">
    <w:name w:val="Unresolved Mention"/>
    <w:basedOn w:val="627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tumen.roskazna.gov.ru/gis/ao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Филинская</dc:creator>
  <cp:keywords/>
  <dc:description/>
  <cp:lastModifiedBy>Аноним</cp:lastModifiedBy>
  <cp:revision>9</cp:revision>
  <dcterms:created xsi:type="dcterms:W3CDTF">2025-12-23T03:33:00Z</dcterms:created>
  <dcterms:modified xsi:type="dcterms:W3CDTF">2025-12-24T09:46:48Z</dcterms:modified>
</cp:coreProperties>
</file>